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66725" cy="609600"/>
                <wp:effectExtent l="0" t="0" r="0" b="0"/>
                <wp:docPr id="1" name="_x0000_i105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6672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75pt;height:48.0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14:ligatures w14:val="none"/>
        </w:rPr>
        <w:t xml:space="preserve">ГОРОДСКАЯ ДУМА ГОРОДА НИЖНЕГО НОВГОРОДА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0"/>
          <w:highlight w:val="none"/>
          <w:u w:val="none"/>
          <w:vertAlign w:val="baseline"/>
          <w:rtl w:val="0"/>
          <w:cs w:val="0"/>
          <w14:ligatures w14:val="none"/>
        </w:rPr>
        <w:t xml:space="preserve">РЕШЕНИЕ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tbl>
      <w:tblPr>
        <w:tblpPr w:horzAnchor="text" w:tblpXSpec="left" w:vertAnchor="text" w:tblpY="1" w:leftFromText="180" w:topFromText="0" w:rightFromText="180" w:bottomFromText="0"/>
        <w:tblW w:w="10206" w:type="dxa"/>
        <w:tblLook w:val="00A0" w:firstRow="1" w:lastRow="0" w:firstColumn="1" w:lastColumn="0" w:noHBand="0" w:noVBand="0"/>
      </w:tblPr>
      <w:tblGrid>
        <w:gridCol w:w="1134"/>
        <w:gridCol w:w="1843"/>
        <w:gridCol w:w="4395"/>
        <w:gridCol w:w="2834"/>
      </w:tblGrid>
      <w:tr>
        <w:tblPrEx/>
        <w:trPr>
          <w:trHeight w:val="467" w:hRule="exact"/>
        </w:trPr>
        <w:tc>
          <w:tcPr>
            <w:tcW w:w="1134" w:type="dxa"/>
            <w:textDirection w:val="lrTb"/>
            <w:noWrap w:val="false"/>
          </w:tcPr>
          <w:p>
            <w:pPr>
              <w:ind w:firstLine="0"/>
              <w:spacing w:line="480" w:lineRule="auto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ind w:firstLine="0"/>
              <w:spacing w:line="480" w:lineRule="auto"/>
              <w:rPr>
                <w:szCs w:val="28"/>
              </w:rPr>
            </w:pPr>
            <w:r>
              <w:rPr>
                <w:rStyle w:val="931"/>
                <w:b/>
                <w:bCs/>
                <w:szCs w:val="28"/>
              </w:rPr>
              <w:t xml:space="preserve">_______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4395" w:type="dxa"/>
            <w:textDirection w:val="lrTb"/>
            <w:noWrap w:val="false"/>
          </w:tcPr>
          <w:p>
            <w:pPr>
              <w:ind w:firstLine="0"/>
              <w:spacing w:line="480" w:lineRule="auto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2834" w:type="dxa"/>
            <w:textDirection w:val="lrTb"/>
            <w:noWrap w:val="false"/>
          </w:tcPr>
          <w:p>
            <w:pPr>
              <w:ind w:firstLine="0"/>
              <w:spacing w:line="480" w:lineRule="auto"/>
              <w:rPr>
                <w:szCs w:val="28"/>
              </w:rPr>
            </w:pPr>
            <w:r>
              <w:rPr>
                <w:rStyle w:val="931"/>
                <w:szCs w:val="28"/>
              </w:rPr>
              <w:t xml:space="preserve">№ </w:t>
            </w:r>
            <w:r>
              <w:rPr>
                <w:rStyle w:val="931"/>
                <w:b/>
                <w:bCs/>
                <w:szCs w:val="28"/>
              </w:rPr>
              <w:t xml:space="preserve">____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4"/>
        <w:gridCol w:w="4394"/>
        <w:gridCol w:w="284"/>
      </w:tblGrid>
      <w:tr>
        <w:tblPrEx/>
        <w:trPr>
          <w:cantSplit/>
          <w:trHeight w:val="285" w:hRule="exact"/>
        </w:trPr>
        <w:tc>
          <w:tcPr>
            <w:tcW w:w="284" w:type="dxa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┌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4394" w:type="dxa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284" w:type="dxa"/>
            <w:textDirection w:val="lrTb"/>
            <w:noWrap w:val="false"/>
          </w:tcPr>
          <w:p>
            <w:pPr>
              <w:pStyle w:val="932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┐</w:t>
            </w:r>
            <w:r>
              <w:rPr>
                <w:szCs w:val="28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14300" cy="104775"/>
                      <wp:effectExtent l="0" t="0" r="4445" b="1270"/>
                      <wp:docPr id="2" name="AutoShap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0" y="0"/>
                                <a:ext cx="114300" cy="10477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shape 1" o:spid="_x0000_s1" o:spt="1" type="#_x0000_t1" style="width:9.00pt;height:8.25pt;mso-wrap-distance-left:0.00pt;mso-wrap-distance-top:0.00pt;mso-wrap-distance-right:0.00pt;mso-wrap-distance-bottom:0.00pt;visibility:visible;" filled="f" stroked="f"/>
                  </w:pict>
                </mc:Fallback>
              </mc:AlternateConten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blPrEx/>
        <w:trPr>
          <w:cantSplit/>
          <w:trHeight w:val="487"/>
        </w:trPr>
        <w:tc>
          <w:tcPr>
            <w:gridSpan w:val="3"/>
            <w:tcW w:w="4962" w:type="dxa"/>
            <w:textDirection w:val="lrTb"/>
            <w:noWrap w:val="false"/>
          </w:tcPr>
          <w:p>
            <w:pPr>
              <w:pStyle w:val="932"/>
              <w:ind w:left="116"/>
              <w:jc w:val="both"/>
              <w:spacing w:line="240" w:lineRule="auto"/>
              <w:widowControl w:val="off"/>
              <w:rPr>
                <w:szCs w:val="28"/>
              </w:rPr>
            </w:pPr>
            <w:r/>
            <w:bookmarkStart w:id="0" w:name="undefined"/>
            <w:r>
              <w:rPr>
                <w:szCs w:val="28"/>
              </w:rPr>
              <w:t xml:space="preserve">О внесении изменений в Программу</w:t>
            </w:r>
            <w:r>
              <w:rPr>
                <w:szCs w:val="28"/>
              </w:rPr>
              <w:br/>
              <w:t xml:space="preserve">комплексного развития социальной инфраструктуры муниципального образования городской округ город Нижний Новгород на 2020-2030 годы, </w:t>
            </w:r>
            <w:r>
              <w:rPr>
                <w:bCs/>
                <w:szCs w:val="28"/>
              </w:rPr>
              <w:t xml:space="preserve">утвержденную решением городской Думы города Нижнего Новгорода от 26.02.2020 </w:t>
            </w:r>
            <w:r>
              <w:rPr>
                <w:b w:val="0"/>
                <w:bCs w:val="0"/>
                <w:szCs w:val="28"/>
              </w:rPr>
              <w:t xml:space="preserve">года</w:t>
            </w:r>
            <w:r>
              <w:rPr>
                <w:bCs/>
                <w:szCs w:val="28"/>
              </w:rPr>
              <w:t xml:space="preserve"> № 25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bookmarkStart w:id="0" w:name="undefined"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bookmarkEnd w:id="0"/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соответствии с </w:t>
      </w:r>
      <w:hyperlink r:id="rId11" w:tooltip="https://xn--80aah6bno.xn--b1acdfjbh2acclca1a.xn--p1ai/#/document/12138258/entry/0" w:anchor="/document/12138258/entry/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-3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Градостроительным кодексом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кой Федерации от 1 октяб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ря 2015 г. № 1050 «Об утверждении требований к программам комплексного развития социальной инфраструктуры поселений, муниципальных округов, городских округов», статьей 29 Устава города Нижнего Новгорода, в целях оптимизации Программы комплексного развития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социальной инфраструктуры муниципального образования городской округ город Нижний Новгород на 2020 – 2030 годы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ГОРОДСКАЯ ДУМА РЕШИЛА: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Внести в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Программу комплексного развития социальной инфраструктуры муниципального образования городской округ город Нижний Новгород на 2020 – 2030 годы, утвержденную решением городской Думы города Нижнего Новгорода от 26.02.2020 № 25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(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 изменениями, внесенными решениями городской Думы города Нижнего Новгорода от 19.12.2023 № 289, от 25.09.2024 №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204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 от 23.10.2024 № 207, от 26.02.2025 № 31)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следующие изменения: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1.1. Абзацы первый и второй раздела 2 пункта 2 подпункта 2.3 «Физическая культура и массовый спорт» изложить в следующей редакции: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«В городе Нижнем Новгороде функционируют 27 муниципальных учреждений спортивной направленности. Совместно с Правительством Нижегородской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 области на территории городского округа активно ведется  строительство физкультурно-оздоровительных комплексов (далее – ФОК), стадионов и хоккейных площадок, спортивных площадок на территории дворов и школ. Однако обеспеченность объектами инфраструктуры ф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изической культуры и спорта в городском округе остается невысокой, а именно: обеспеченность бассейнами составила 22,4% (или 103 плавательных бассейна), плоскостными сооружениями - 32,2% (или 771 сооружение) и спортзалами - 56,6% (или 608 спортивных залов).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В городе Нижнем Новгороде активно поддерживается около 90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видов спорта. Наиболее массовыми видами спорта являются футбол, волейбол, хоккей, вольная борьба, плавание, легкая атлетика. Доля населения города в возрасте 3-79 лет, систематически занимающегося физической культурой и массовым спортом, составляет 58,8%».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1.2. Абзац пятый раздела 2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пункта 2 подпункта 2.3 «Физическая культура и массовый спорт» изложить в следующей редакции: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«Материальная база и инфраструктура спортивной отрасли городского округа не удовлетворяют в полной мере ежегодно возрастающей потребности населения в спортивно-оздоровительных услугах, особенно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 по месту жительства, учебы и отдыха. Городской округ испытывает недостаток в крупных спортивных сооружениях, специализированных универсальных игровых залах, физкультурно-оздоровительных клубах, крытых ледовых площадках для занятий зимними видами спорта».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left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1.3. </w:t>
      </w:r>
      <w:r>
        <w:rPr>
          <w:sz w:val="28"/>
          <w:szCs w:val="28"/>
          <w:highlight w:val="none"/>
        </w:rPr>
        <w:t xml:space="preserve">В п</w:t>
      </w:r>
      <w:r>
        <w:rPr>
          <w:b w:val="0"/>
          <w:bCs w:val="0"/>
          <w:i w:val="0"/>
          <w:iCs w:val="0"/>
          <w:sz w:val="28"/>
          <w:szCs w:val="28"/>
          <w:highlight w:val="none"/>
        </w:rPr>
        <w:t xml:space="preserve">риложении 1: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left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1.3.1. </w:t>
      </w:r>
      <w:r>
        <w:rPr>
          <w:sz w:val="28"/>
          <w:szCs w:val="28"/>
          <w:highlight w:val="none"/>
        </w:rPr>
        <w:t xml:space="preserve">В разделе 1 «Планируемые объекты в области образования»: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left"/>
        <w:keepLines w:val="0"/>
        <w:keepNext w:val="0"/>
        <w:pageBreakBefore w:val="0"/>
        <w:spacing w:before="0" w:beforeAutospacing="0" w:after="0" w:afterAutospacing="0" w:line="276" w:lineRule="auto"/>
        <w:shd w:val="nil" w:color="ffffff"/>
        <w:widowControl/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1.3.1.1. </w:t>
      </w:r>
      <w:r>
        <w:rPr>
          <w:sz w:val="28"/>
          <w:szCs w:val="28"/>
        </w:rPr>
        <w:t xml:space="preserve">В подразделе «Общеобразовательные организации»: </w:t>
      </w: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</w: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</w:rPr>
        <w:t xml:space="preserve">1.3.1.1.1. В столбце втором «Наименование объекта» строки 2 слова «на 400 мест» заменить словами «на 300 мест», в столбце четвертом «Параметры объекта» строки 2 слова «на 400 мест» заменить словами «На 300 мест».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  <w14:ligatures w14:val="none"/>
        </w:rPr>
        <w:t xml:space="preserve">1.3.1.1.2. В столбце втором «Наименование объекта» строки 6 слова «на 825 мест» заменить словами «на 1000 мест», в столбце четвертом строки 6 слова «на 825 мест» заменить словами «На 1000 мест».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t xml:space="preserve">1.3.1.1.3. В столбце втором </w:t>
      </w:r>
      <w:r>
        <w:rPr>
          <w:sz w:val="28"/>
          <w:szCs w:val="28"/>
          <w:highlight w:val="none"/>
        </w:rPr>
        <w:t xml:space="preserve">«Наименование объекта» </w:t>
      </w: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t xml:space="preserve">строки 16 слова «на 400 мест» заменить словами «на 300 мест», в столбце четвертом </w:t>
      </w:r>
      <w:r>
        <w:rPr>
          <w:sz w:val="28"/>
          <w:szCs w:val="28"/>
          <w:highlight w:val="none"/>
        </w:rPr>
        <w:t xml:space="preserve">«Параметры объекта» строки 16 </w:t>
      </w: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t xml:space="preserve">слова «на 400 мест» заменить словами «На 300 мест».</w:t>
      </w: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t xml:space="preserve">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iCs w:val="0"/>
          <w:vanish w:val="0"/>
          <w:sz w:val="28"/>
          <w:szCs w:val="28"/>
          <w:highlight w:val="none"/>
          <w:rtl w:val="0"/>
          <w:cs w:val="0"/>
          <w14:ligatures w14:val="none"/>
        </w:rPr>
        <w:t xml:space="preserve">1.3.1.1.4. </w:t>
      </w:r>
      <w:r>
        <w:rPr>
          <w:sz w:val="28"/>
          <w:szCs w:val="28"/>
          <w:highlight w:val="none"/>
        </w:rPr>
        <w:t xml:space="preserve">В столбце четвертом </w:t>
      </w:r>
      <w:r>
        <w:rPr>
          <w:sz w:val="28"/>
          <w:szCs w:val="28"/>
          <w:highlight w:val="none"/>
        </w:rPr>
        <w:t xml:space="preserve">«Параметры объекта» </w:t>
      </w:r>
      <w:r>
        <w:rPr>
          <w:sz w:val="28"/>
          <w:szCs w:val="28"/>
          <w:highlight w:val="none"/>
        </w:rPr>
        <w:t xml:space="preserve">строки 22 слова «На 1100 мест» заменить словами «На 990 мест», в</w:t>
      </w:r>
      <w:r>
        <w:rPr>
          <w:sz w:val="28"/>
          <w:szCs w:val="28"/>
          <w:highlight w:val="none"/>
          <w14:ligatures w14:val="none"/>
        </w:rPr>
        <w:t xml:space="preserve"> столбце шестом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«Сроки реализации мероприятия, годы»  строки 22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цифры «2025-2027» заменить цифрами «2029»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  <w14:ligatures w14:val="none"/>
        </w:rPr>
        <w:t xml:space="preserve">1.3.1.1.5. В столбце втором «Наименование объекта» строки 34 слова «на 650 мест» заменить словами «на 550 мест», в столбце четвертом «Параметры объекта» слова «На 650 мест» заменить словами «На 550 мест».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  <w14:ligatures w14:val="none"/>
        </w:rPr>
        <w:t xml:space="preserve">1.3.1.1.6. В столбце втором </w:t>
      </w:r>
      <w:r>
        <w:rPr>
          <w:sz w:val="28"/>
          <w:szCs w:val="28"/>
          <w:highlight w:val="none"/>
        </w:rPr>
        <w:t xml:space="preserve">«Наименование объекта»</w:t>
      </w:r>
      <w:r>
        <w:rPr>
          <w:sz w:val="28"/>
          <w:szCs w:val="28"/>
          <w:highlight w:val="none"/>
          <w14:ligatures w14:val="none"/>
        </w:rPr>
        <w:t xml:space="preserve"> строки 52 слова «на 1000 мест» заменить словами «на 825 мест», в столбце четвертом «Параметры объекта» строки 52 слова «На 1000 мест» заменить словами «На 825 мест», в</w:t>
      </w:r>
      <w:r>
        <w:rPr>
          <w:sz w:val="28"/>
          <w:szCs w:val="28"/>
          <w:highlight w:val="none"/>
          <w14:ligatures w14:val="none"/>
        </w:rPr>
        <w:t xml:space="preserve"> столбце восьмом «Источник мероприятия» строки 52 слова «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Для обеспечения застройки КРТ согласно мастер-плану, утвержденному протоколом регионального штаба по вопросам реализации градостроительной политики на территории Нижегородской области от 21.03.2024»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заменить словами «Договор КРТ с ООО «СЗ «Альфа.Норма» от 25.02.2025 №18-П/4».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</w:rPr>
        <w:t xml:space="preserve">1.3.1.1.7. В </w:t>
      </w:r>
      <w:r>
        <w:rPr>
          <w:sz w:val="28"/>
          <w:szCs w:val="28"/>
          <w:highlight w:val="none"/>
        </w:rPr>
        <w:t xml:space="preserve">столбце второ</w:t>
      </w:r>
      <w:r>
        <w:rPr>
          <w:sz w:val="28"/>
          <w:szCs w:val="28"/>
          <w:highlight w:val="none"/>
        </w:rPr>
        <w:t xml:space="preserve">м «Наименование объекта» строки 53 слова «Школа на ул.Тимирязева в Советском районе города Нижнего Новгорода на 1500 мест» заменить словами «Школа на ул.Тимирязева, ул.Чачиной, Оранжерейный тупик в Советском районе города Нижнего Новгорода на 2200 мест», в</w:t>
      </w:r>
      <w:r>
        <w:rPr>
          <w:sz w:val="28"/>
          <w:szCs w:val="28"/>
          <w:highlight w:val="none"/>
        </w:rPr>
        <w:t xml:space="preserve"> столбце четвертом «Параметры объекта» строки 53 слова «На 1500 мест» заменить словами «На 2200 мест», в</w:t>
      </w:r>
      <w:r>
        <w:rPr>
          <w:sz w:val="28"/>
          <w:szCs w:val="28"/>
          <w:highlight w:val="none"/>
        </w:rPr>
        <w:t xml:space="preserve"> столбце восьмом «Источник мероприятия» строки 53 слова «Договор КРТ от 17.04.2024 №55-П/11» заменить словами «Обеспечение застройки КРТ Тимирязева согласно мастер-плану».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b/>
          <w:bCs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b w:val="0"/>
          <w:bCs w:val="0"/>
          <w:sz w:val="28"/>
          <w:szCs w:val="28"/>
          <w:highlight w:val="none"/>
        </w:rPr>
        <w:t xml:space="preserve">1.3.1.2. В подразделе «Дошкольные образовательные организации»:</w:t>
      </w:r>
      <w:r>
        <w:rPr>
          <w:b/>
          <w:bCs/>
          <w:sz w:val="28"/>
          <w:szCs w:val="28"/>
          <w:highlight w:val="none"/>
          <w14:ligatures w14:val="none"/>
        </w:rPr>
      </w:r>
      <w:r>
        <w:rPr>
          <w:b/>
          <w:bCs/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b w:val="0"/>
          <w:bCs w:val="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b w:val="0"/>
          <w:bCs w:val="0"/>
          <w:sz w:val="28"/>
          <w:szCs w:val="28"/>
          <w:highlight w:val="none"/>
          <w14:ligatures w14:val="none"/>
        </w:rPr>
        <w:t xml:space="preserve">1.3.1.2.1. Строку 14 исключить.</w:t>
      </w:r>
      <w:r>
        <w:rPr>
          <w:b w:val="0"/>
          <w:bCs w:val="0"/>
          <w:sz w:val="28"/>
          <w:szCs w:val="28"/>
          <w:highlight w:val="none"/>
          <w14:ligatures w14:val="none"/>
        </w:rPr>
      </w:r>
      <w:r>
        <w:rPr>
          <w:b w:val="0"/>
          <w:bCs w:val="0"/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  <w14:ligatures w14:val="none"/>
        </w:rPr>
        <w:t xml:space="preserve">1.3.1.2.2.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В столбце втором «Наименование объекта» строки 57 слова «Детский сад в границах улиц Полтавская, Республиканская, Высоковс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кий п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роезд, Бориса Панина в Советском районе города Нижнего Новгорода на 200 мест» заменить словами «Детский сад в границах улиц Бориса Панина, Полтавской, Республиканской, Ижорской, Высоковского проезда в Советском районе города Нижнего Новгорода на 200 мест».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  <w:highlight w:val="none"/>
          <w14:ligatures w14:val="none"/>
        </w:rPr>
        <w:t xml:space="preserve">1.3.1.2.3. В столбце втором «Наименование объекта» строки 109 слова «на 240 мест» заменить словами «на 200 мест», в столбце четвертом «Параметры объекта» строки 109 слова «На 240 мест» заменить словами «На 200 мест».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1.3.1.2.4. Дополнить строками 114 - 122 согласно приложению 1 к настоящему решению.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1.3.2. В разделе 2 «Планируемые объекты в области физической культуры и массового спорта»: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1.3.2.1. Строки 1-12 исключить.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76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1.3.2.2. Дополнить строками 1-9 согласно приложению 2 к настоящему решению.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 </w:t>
      </w:r>
      <w:r>
        <w:rPr>
          <w:b w:val="0"/>
          <w:bCs w:val="0"/>
          <w:sz w:val="28"/>
          <w:szCs w:val="28"/>
          <w:highlight w:val="none"/>
        </w:rPr>
        <w:t xml:space="preserve">В п</w:t>
      </w:r>
      <w:r>
        <w:rPr>
          <w:b w:val="0"/>
          <w:bCs w:val="0"/>
          <w:sz w:val="28"/>
          <w:szCs w:val="28"/>
          <w:highlight w:val="none"/>
        </w:rPr>
        <w:t xml:space="preserve">риложении 2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 В разделе 1 «Оценка объемов и источников финансирования мероприятий в области образования»: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 В подразделе 1.1 «Развитие общего образования»: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1.4.1.1.1. </w:t>
      </w:r>
      <w:r>
        <w:rPr>
          <w:sz w:val="28"/>
          <w:szCs w:val="28"/>
          <w:highlight w:val="none"/>
        </w:rPr>
        <w:t xml:space="preserve">В столбце втором «Наименование мероприятия» строки 2 слова «на 400 мест» заменить словами «на 300 мест».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1.4.1.1.2. В столбце втором «Наименование мероприятия» строки 6 слова «на 825 мест» заменить словами «на 1000 мест».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1.4.1.1.3. В столбце втором «Наименование мероприятия» строки 16 слова «на 400 мест» заменить словами «на 300 мест».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b/>
          <w:bCs/>
          <w:i/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1.4.1.1.4. </w:t>
      </w:r>
      <w:r>
        <w:rPr>
          <w:b w:val="0"/>
          <w:bCs w:val="0"/>
          <w:i w:val="0"/>
          <w:iCs w:val="0"/>
          <w:sz w:val="28"/>
          <w:szCs w:val="28"/>
          <w:highlight w:val="none"/>
        </w:rPr>
        <w:t xml:space="preserve">Строку 33 изложить в редакции согласно приложению 3 к настоящему решению.</w:t>
      </w:r>
      <w:r>
        <w:rPr>
          <w:b/>
          <w:bCs/>
          <w:i/>
          <w:sz w:val="28"/>
          <w:szCs w:val="28"/>
          <w:highlight w:val="none"/>
        </w:rPr>
      </w:r>
      <w:r>
        <w:rPr>
          <w:b/>
          <w:bCs/>
          <w:i/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b w:val="0"/>
          <w:bCs w:val="0"/>
          <w:i w:val="0"/>
          <w:sz w:val="28"/>
          <w:szCs w:val="28"/>
          <w:highlight w:val="none"/>
        </w:rPr>
      </w:pPr>
      <w:r>
        <w:rPr>
          <w:b w:val="0"/>
          <w:bCs w:val="0"/>
          <w:i w:val="0"/>
          <w:iCs w:val="0"/>
          <w:sz w:val="28"/>
          <w:szCs w:val="28"/>
          <w:highlight w:val="none"/>
        </w:rPr>
        <w:t xml:space="preserve">1.4.1.1.5. В столбце втором «Наименование мероприятия» строки 34 слова «на 650 мест» заменить словами «на 550 мест». </w:t>
      </w:r>
      <w:r>
        <w:rPr>
          <w:b w:val="0"/>
          <w:bCs w:val="0"/>
          <w:i w:val="0"/>
          <w:iCs w:val="0"/>
          <w:sz w:val="28"/>
          <w:szCs w:val="28"/>
          <w:highlight w:val="none"/>
        </w:rPr>
      </w:r>
      <w:r>
        <w:rPr>
          <w:b w:val="0"/>
          <w:bCs w:val="0"/>
          <w:i w:val="0"/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1.4.1.1.6. </w:t>
      </w:r>
      <w:r>
        <w:rPr>
          <w:sz w:val="28"/>
          <w:szCs w:val="28"/>
          <w:highlight w:val="none"/>
        </w:rPr>
        <w:t xml:space="preserve">Строку 35 изложить в редакции согласно приложению 3 к настоящему решению.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1.4.1.1.7. Строку 52 изложить в редакции согласно приложению 3 к настоящему решению.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1.4.1.1.8. </w:t>
      </w:r>
      <w:r>
        <w:rPr>
          <w:sz w:val="28"/>
          <w:szCs w:val="28"/>
          <w:highlight w:val="none"/>
        </w:rPr>
        <w:t xml:space="preserve">Строку 53 изложить в редакции согласно приложению 3 к настоящему решению.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  <w:t xml:space="preserve">1.4.1.2. В подразделе</w:t>
      </w:r>
      <w:r>
        <w:rPr>
          <w:b w:val="0"/>
          <w:bCs w:val="0"/>
          <w:sz w:val="28"/>
          <w:szCs w:val="28"/>
          <w:highlight w:val="none"/>
        </w:rPr>
        <w:t xml:space="preserve"> 1.2 «Развитие дошкольного образования»: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  <w:t xml:space="preserve">1.4.1.2.1. Строку 14 исключить.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1.4.1.2.2.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В столбце втором «Наименование мероприятия» строки 57 слова «Детский сад в границах улиц Полтавская, Республиканская, Высоковс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кий п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роезд, Бориса Панина в Советском районе города Нижнего Новгорода на 200 мест» заменить словами «Детский сад в границах улиц Бориса Панина, Полтавской, Республиканской, Ижорской, Высоковского проезда в Советском районе города Нижнего Новгорода на 200 мест».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1.4.1.2.3. В столбце втором «Наименование мероприятия» строки 109 слова «на 240 мест» заменить словами «на 200 мест».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1.4.1.2.4. Дополнить строками 114 - 122 согласно приложению 4 к настоящему решению.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1.4.2. В разделе 2 «Оценка объемов и источников финансирования мероприятий в области физической культуры и спорта»: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1.4.2.1. В подразделе 2.1 «Строительство»: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1.4.2.1.1. Строки 1-7 исключить.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1.4.2.1.2. Строку «Итого строительство:» исключить.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spacing w:line="276" w:lineRule="auto"/>
        <w:rPr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1.4.2.1.3. </w: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t xml:space="preserve">Дополнить строками 1-6 согласно приложению 5 к настоящему решению.</w:t>
      </w:r>
      <w:r>
        <w:rPr>
          <w:highlight w:val="none"/>
          <w14:ligatures w14:val="none"/>
        </w:rPr>
      </w:r>
      <w:r>
        <w:rPr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1.4.2.1.4. Дополнить строкой «Итого строительство:» согласно приложению 5 к настоящему решению.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 В подразделе 2.2 «Реконструкция»: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1.4.2.2.1. Строки 8-12 исключить.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1.4.2.2.2. Строку «Итого реконструкция:» исключить.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1.4.2.2.3. Строку «ИТОГО по разделу «Развитие физической культуры и спорта» исключить.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1.4.2.2.4. Дополнить строками 7-9 согласно приложению 5 к настоящему решению.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1.4.2.2.5. Дополнить строкой «Итого реконструкция:» согласно приложению 5 к настоящему решению.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line="276" w:lineRule="auto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1.4.2.2.6. Дополнить строкой «ИТОГО по разделу «Развитие физической культуры и спорта» согласно приложению 5 к настоящему решению.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2. Решение вступает в силу после его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официального обнародования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tbl>
      <w:tblPr>
        <w:tblW w:w="9923" w:type="dxa"/>
        <w:tblLayout w:type="fixed"/>
        <w:tblLook w:val="0000" w:firstRow="0" w:lastRow="0" w:firstColumn="0" w:lastColumn="0" w:noHBand="0" w:noVBand="0"/>
      </w:tblPr>
      <w:tblGrid>
        <w:gridCol w:w="5157"/>
        <w:gridCol w:w="4766"/>
      </w:tblGrid>
      <w:tr>
        <w:tblPrEx/>
        <w:trPr>
          <w:trHeight w:val="945"/>
        </w:trPr>
        <w:tc>
          <w:tcPr>
            <w:tcW w:w="5157" w:type="dxa"/>
            <w:textDirection w:val="lrTb"/>
            <w:noWrap w:val="false"/>
          </w:tcPr>
          <w:p>
            <w:pPr>
              <w:pStyle w:val="935"/>
              <w:jc w:val="center"/>
              <w:spacing w:line="276" w:lineRule="auto"/>
              <w:tabs>
                <w:tab w:val="left" w:pos="4305" w:leader="none"/>
                <w:tab w:val="left" w:pos="4470" w:leader="none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766" w:type="dxa"/>
            <w:textDirection w:val="lrTb"/>
            <w:noWrap w:val="false"/>
          </w:tcPr>
          <w:p>
            <w:pPr>
              <w:pStyle w:val="936"/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Председатель городской Думы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blPrEx/>
        <w:trPr>
          <w:trHeight w:val="675"/>
        </w:trPr>
        <w:tc>
          <w:tcPr>
            <w:tcW w:w="5157" w:type="dxa"/>
            <w:textDirection w:val="lrTb"/>
            <w:noWrap w:val="false"/>
          </w:tcPr>
          <w:p>
            <w:pPr>
              <w:pStyle w:val="935"/>
              <w:jc w:val="both"/>
              <w:spacing w:line="276" w:lineRule="auto"/>
              <w:tabs>
                <w:tab w:val="left" w:pos="4140" w:leader="none"/>
                <w:tab w:val="left" w:pos="4350" w:leader="none"/>
                <w:tab w:val="left" w:pos="4575" w:leader="none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35"/>
              <w:jc w:val="center"/>
              <w:spacing w:line="276" w:lineRule="auto"/>
              <w:tabs>
                <w:tab w:val="left" w:pos="4140" w:leader="none"/>
                <w:tab w:val="left" w:pos="4350" w:leader="none"/>
                <w:tab w:val="left" w:pos="4575" w:leader="none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Ю.В.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Шалабаев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766" w:type="dxa"/>
            <w:textDirection w:val="lrTb"/>
            <w:noWrap w:val="false"/>
          </w:tcPr>
          <w:p>
            <w:pPr>
              <w:pStyle w:val="936"/>
              <w:jc w:val="both"/>
              <w:spacing w:line="276" w:lineRule="auto"/>
              <w:tabs>
                <w:tab w:val="left" w:pos="3930" w:leader="none"/>
                <w:tab w:val="left" w:pos="4260" w:leader="none"/>
                <w:tab w:val="left" w:pos="4530" w:leader="none"/>
              </w:tabs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  <w:p>
            <w:pPr>
              <w:pStyle w:val="936"/>
              <w:jc w:val="center"/>
              <w:spacing w:line="276" w:lineRule="auto"/>
              <w:tabs>
                <w:tab w:val="left" w:pos="3930" w:leader="none"/>
                <w:tab w:val="left" w:pos="4260" w:leader="none"/>
                <w:tab w:val="left" w:pos="4530" w:leader="none"/>
              </w:tabs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Е.А.Чинцов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</w:tbl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t xml:space="preserve">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t xml:space="preserve">         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t xml:space="preserve">Приложение 1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t xml:space="preserve">                                                                                                        к решению городской Думы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t xml:space="preserve">                                                                                                        города Нижнего Новгорода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t xml:space="preserve">                                                                                                        от            №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lang w:val="en-US" w:eastAsia="zh-CN" w:bidi="ar-SA"/>
          <w14:ligatures w14:val="none"/>
        </w:rPr>
      </w:r>
    </w:p>
    <w:tbl>
      <w:tblPr>
        <w:tblStyle w:val="75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850"/>
        <w:gridCol w:w="850"/>
        <w:gridCol w:w="1134"/>
        <w:gridCol w:w="709"/>
        <w:gridCol w:w="2248"/>
        <w:gridCol w:w="1972"/>
      </w:tblGrid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улиц Усиевича, Гончарова, Профинтерна, бульвара Заречный в Ленинском районе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Ленинский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color w:val="000000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tcW w:w="1972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Документация по планировке территории в рамках исполнения договора о развитии застроенной территории, утверждена приказом департамента градостроительной деятельности и развития агломераций Нижегородской области от 07.10.2019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№ 07-02-03/91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</w:tr>
      <w:tr>
        <w:tblPrEx/>
        <w:trPr>
          <w:trHeight w:val="567"/>
        </w:trPr>
        <w:tc>
          <w:tcPr>
            <w:tcW w:w="675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115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 ул. Красносельская дублер, ул.Малая Ямская, ул.Максима Горького, ул.Арзамасская, ул.Крупской Нижегородского района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Нижегородский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/>
          </w:p>
        </w:tc>
        <w:tc>
          <w:tcPr>
            <w:tcW w:w="1972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t xml:space="preserve">з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  <w:t xml:space="preserve">астройки КРТ Арзамасская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 ул.Дьяконова, ул.Борской, ул.Львовской, ул.Бурденко, пр.Бусыгина и в границах ул.Львовской, ул.Дворовой в Автозаводском районе города Нижнего Новгорода 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Автозаводский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Договор КРТ с ООО “СЗ “Альфа.Норма” от 25.02.2025 №18-П/4”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117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 ул.Бориса Рутковского, ул.Николая Пахомова, ул.Анатолия Григорьева, ул.Июльских дней, ул.Октябрьской революции, ул.Чкалова в Канавинском районе города Нижнего Новгорода на 160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Канавинский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/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Чкалова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118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территории КРТ жилой застройки в границах ул.Березовская, пр.Героев, Московское шоссе в Московском районе города Нижнего Новгорода на 150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Московский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150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Героев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119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ул.Тимирязева, ул.Чачиной, Оранжерейный тупик в Советском районе Нижнего Новгорода 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Советский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Тимирязева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120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ул.Тимирязева, ул.Чачиной, Оранжерейный тупик в Советском районе Нижнего Новгорода 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Советский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Тимирязева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121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нежилой застройки в границах ул.Космическая, ул.Зеленхозовская в Автозаводском районе города Нижнего Новгорода на 290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Автозаводский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290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Космическая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122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нежилой застройки в границах ул.Полевая в Приокском районе города Нижнего Новгорода 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Приокский район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contextualSpacing w:val="0"/>
              <w:jc w:val="left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2248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строительства и капитального ремонта администрации города Нижнего Новгорода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97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Обеспечение застройки КРТ Полевая согласно мастер-плану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</w:tr>
    </w:tbl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  <w:t xml:space="preserve">Приложение 2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 к решению городской Думы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 города Нижнего Новгорода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 от             №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tbl>
      <w:tblPr>
        <w:tblStyle w:val="754"/>
        <w:tblW w:w="0" w:type="auto"/>
        <w:tblLayout w:type="fixed"/>
        <w:tblLook w:val="04A0" w:firstRow="1" w:lastRow="0" w:firstColumn="1" w:lastColumn="0" w:noHBand="0" w:noVBand="1"/>
      </w:tblPr>
      <w:tblGrid>
        <w:gridCol w:w="533"/>
        <w:gridCol w:w="1701"/>
        <w:gridCol w:w="895"/>
        <w:gridCol w:w="1373"/>
        <w:gridCol w:w="1134"/>
        <w:gridCol w:w="709"/>
        <w:gridCol w:w="2409"/>
        <w:gridCol w:w="1384"/>
      </w:tblGrid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 и модернизация 8 спортивных площадок в районах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Районы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Спортивные площадки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 и модернизация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Администрации районов города Нижнего Новгорода</w:t>
            </w:r>
            <w:r>
              <w:rPr>
                <w:rFonts w:ascii="Times New Roman" w:hAnsi="Times New Roman" w:eastAsia="Times New Roman" w:cs="Times New Roman"/>
                <w:sz w:val="24"/>
              </w:rPr>
            </w:r>
            <w:r/>
          </w:p>
        </w:tc>
        <w:tc>
          <w:tcPr>
            <w:tcW w:w="138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color w:val="000000"/>
                <w:sz w:val="24"/>
                <w:szCs w:val="24"/>
              </w:rPr>
              <w:t xml:space="preserve">Муниципальная программа "Развитие физической культуры и спорта в городе Нижнем Новгороде" на 2023-2028 годы, утвержденная</w:t>
            </w:r>
            <w:r>
              <w:rPr>
                <w:color w:val="000000"/>
                <w:sz w:val="24"/>
                <w:szCs w:val="24"/>
              </w:rPr>
              <w:t xml:space="preserve"> постановлением администрации города Нижнего Новгорода от 27.12.2022 №7119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>
          <w:trHeight w:val="2300"/>
        </w:trPr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МБОУ ДО СШ ДС «Северная звезда», МБОУ ДО КСШ №1, МБОУ ДО СШ «Олимп»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Автозаводский, Канавинский районы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Устройство мини-футбольных полей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МБУ «КСШОР №1», ул. Лоскутова, 11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Автозаводский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Легкоатлетический манеж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/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4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МБОУ ДО СШОР №7 по баскетболу, ул.Трамвайная, 81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Ленинский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Спортивный зал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/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МБОУ ДО СШОР №13 по настольному теннису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Нижегородский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Устройство железобетонного основания для быстровозводимого сооружения, благоустройство, подвод коммуникаций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/>
          </w:p>
          <w:p>
            <w:pPr>
              <w:ind w:left="0" w:right="0" w:firstLine="0"/>
              <w:jc w:val="center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6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 лыжероллерной трассы на Анкудиновском шоссе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Приокский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Лыжероллерная трасса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7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МБУ СШ «Водник», ул. Алексеевская, 30А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Нижегородский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Стадион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Реконструкция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Стадион «Старт», ул. Бийская, 15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Московский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Стадион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Реконструкция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W w:w="53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9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Стадион «Труд» МБУ СШ «Сормово» бульвар Юбилейный, 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95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Сормовский район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7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Стадион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Реконструкция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Департамент физической культуры и спорта администрации города Нижнего Новгорода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384" w:type="dxa"/>
            <w:vMerge w:val="continue"/>
            <w:textDirection w:val="lrTb"/>
            <w:noWrap w:val="false"/>
          </w:tcPr>
          <w:p>
            <w:r/>
            <w:r/>
          </w:p>
        </w:tc>
      </w:tr>
    </w:tbl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  <w:t xml:space="preserve">        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Приложение 3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к решению городской Думы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города Нижнего Новгорода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от            №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tbl>
      <w:tblPr>
        <w:tblStyle w:val="754"/>
        <w:tblW w:w="0" w:type="auto"/>
        <w:tblLayout w:type="fixed"/>
        <w:tblLook w:val="04A0" w:firstRow="1" w:lastRow="0" w:firstColumn="1" w:lastColumn="0" w:noHBand="0" w:noVBand="1"/>
      </w:tblPr>
      <w:tblGrid>
        <w:gridCol w:w="533"/>
        <w:gridCol w:w="1559"/>
        <w:gridCol w:w="709"/>
        <w:gridCol w:w="567"/>
        <w:gridCol w:w="1268"/>
        <w:gridCol w:w="216"/>
        <w:gridCol w:w="216"/>
        <w:gridCol w:w="216"/>
        <w:gridCol w:w="216"/>
        <w:gridCol w:w="216"/>
        <w:gridCol w:w="216"/>
        <w:gridCol w:w="216"/>
        <w:gridCol w:w="216"/>
        <w:gridCol w:w="1256"/>
        <w:gridCol w:w="1276"/>
        <w:gridCol w:w="1239"/>
      </w:tblGrid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33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 школы в границах территории КРТ в границах ул.Дружбы, ул.Снежная, ул.Энтузиастов и р.Ржавка г.Нижнего Новгорода на 1100 мест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  <w:t xml:space="preserve">1159676,10</w:t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386 558,70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386 558,70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386 558,70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  <w:t xml:space="preserve">11713,90</w:t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3 904,63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3 904,63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3 904,64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Строительство школы в границах КРТ жилой застройки в границах улиц Янки Купалы, Южное шоссе, Коломенская и Лескова в Автозаводском районе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r>
              <w:t xml:space="preserve">2030</w:t>
            </w:r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  <w:r>
              <w:rPr>
                <w:b w:val="0"/>
                <w:bCs w:val="0"/>
                <w:sz w:val="16"/>
                <w:szCs w:val="16"/>
                <w:highlight w:val="none"/>
              </w:rPr>
              <w:t xml:space="preserve">1104 004,044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368 001,35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368 001,35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  <w:r>
              <w:rPr>
                <w:b w:val="0"/>
                <w:bCs w:val="0"/>
                <w:sz w:val="16"/>
                <w:szCs w:val="16"/>
                <w:highlight w:val="none"/>
              </w:rPr>
              <w:t xml:space="preserve">368 001,344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6"/>
                <w:szCs w:val="16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11 151,556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3 717,20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3 717,20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3 717,156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r/>
            <w:r/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Школа в границах территории КРТ жилой застройки в границах ул. Дьяконова, ул.Борской, ул. Львовской, ул. Бурденко, пр. Бусыгина, и в границах ул. Львовской, ул. Дворовой  в Автозаводском районе г.Нижнего Новгорода на 825 мест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r>
              <w:t xml:space="preserve">2030</w:t>
            </w:r>
            <w:r/>
          </w:p>
          <w:p>
            <w:r/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932893,09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310 964,36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310 964,36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310 964,37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9 423,16</w:t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18"/>
                <w:szCs w:val="18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3 141,05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3 141,05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3 141,06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  <w:highlight w:val="none"/>
              </w:rPr>
              <w:t xml:space="preserve">Школа на ул.Тимирязева, ул.Чачиной, Оранжерейный тупик в Советском районе города Нижнего Новгорода на 2200 мест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2030</w:t>
            </w:r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3247 768,26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18"/>
                <w:szCs w:val="18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1082 589,42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1082 589,42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b w:val="0"/>
                <w:bCs w:val="0"/>
                <w:sz w:val="18"/>
                <w:szCs w:val="18"/>
                <w:highlight w:val="none"/>
              </w:rPr>
              <w:t xml:space="preserve">1082 589,42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5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56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1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32 805,74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1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5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10 935,24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10 935,24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b w:val="0"/>
                <w:bCs w:val="0"/>
                <w:sz w:val="20"/>
                <w:szCs w:val="20"/>
                <w:highlight w:val="none"/>
              </w:rPr>
              <w:t xml:space="preserve">10 935,26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z w:val="20"/>
                <w:szCs w:val="20"/>
                <w:highlight w:val="none"/>
              </w:rPr>
            </w:r>
          </w:p>
        </w:tc>
      </w:tr>
    </w:tbl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Times New Roman"/>
          <w:sz w:val="24"/>
          <w:szCs w:val="24"/>
        </w:rPr>
        <w:t xml:space="preserve">Приложение 4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к решению городской Думы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города Нижнего Новгорода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от            № 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tbl>
      <w:tblPr>
        <w:tblStyle w:val="754"/>
        <w:tblW w:w="0" w:type="auto"/>
        <w:tblLayout w:type="fixed"/>
        <w:tblLook w:val="04A0" w:firstRow="1" w:lastRow="0" w:firstColumn="1" w:lastColumn="0" w:noHBand="0" w:noVBand="1"/>
      </w:tblPr>
      <w:tblGrid>
        <w:gridCol w:w="606"/>
        <w:gridCol w:w="1932"/>
        <w:gridCol w:w="696"/>
        <w:gridCol w:w="1409"/>
        <w:gridCol w:w="752"/>
        <w:gridCol w:w="431"/>
        <w:gridCol w:w="431"/>
        <w:gridCol w:w="431"/>
        <w:gridCol w:w="431"/>
        <w:gridCol w:w="431"/>
        <w:gridCol w:w="431"/>
        <w:gridCol w:w="431"/>
        <w:gridCol w:w="431"/>
        <w:gridCol w:w="431"/>
        <w:gridCol w:w="431"/>
        <w:gridCol w:w="431"/>
      </w:tblGrid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114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улиц Усиевича, Гончарова, Профинтерна, бульвара Заречный в Ленинском районе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на 160 мест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0"/>
                <w:szCs w:val="20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в границах КРТ территории жилой застройки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в границах ул. Красносельская дублер, ул. Малая Ямская, ул. Максима Горького, ул. Арзамасская, ул. Крупской Нижегородского района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на 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116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в границах КРТ территории жилой застройки в границах ул.Дьяконова, ул.Борской, ул.Львовской, ул.Бурденко, пр.Бусыгина и в границах ул.Львовской, ул.Дворовой в Автозаводском районе города Нижнего Новгорода 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117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 ул.Бориса Рутковского, ул.Николая Пахомова, ул.Анатолия Григорьева, ул.Июльских дней, ул.Октябрьской революции, ул.Чкалова в Канавинском районе города Нижнего Новгорода на 160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 ул.Березовская, пр.Героев, Московское шоссе в Московском районе города Нижнего Новгорода на 150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119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ул.Тимирязева, ул.Чачиной, Оранжерейный тупик в Советском районе Нижнего Новгорода 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120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жилой застройки в границах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ул.Тимирязева, ул.Чачиной, Оранжерейный тупик в Советском районе Нижнего Новгорода на 340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121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нежилой застройки в границах ул.Космическая, ул.Зеленхозовская в Автозаводском районе города Нижнего Новгорода на 290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60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122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932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keepLines w:val="0"/>
              <w:keepNext w:val="0"/>
              <w:pageBreakBefore w:val="0"/>
              <w:spacing w:before="0" w:beforeAutospacing="0" w:after="0" w:afterAutospacing="0" w:line="240" w:lineRule="auto"/>
              <w:shd w:val="nil" w:color="000000"/>
              <w:widowControl/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  <w:suppressLineNumbers w:val="0"/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  <w:t xml:space="preserve">ДДУ в границах КРТ территории нежилой застройки в границах ул.Полевая в Приокском районе города Нижнего Новгорода на 100 мест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strike w:val="0"/>
                <w:color w:val="auto"/>
                <w:spacing w:val="0"/>
                <w:position w:val="0"/>
                <w:sz w:val="24"/>
                <w:szCs w:val="24"/>
                <w:highlight w:val="none"/>
                <w:u w:val="none"/>
                <w:vertAlign w:val="baseline"/>
                <w:lang w:val="en-US" w:eastAsia="zh-CN" w:bidi="ar-SA"/>
                <w14:ligatures w14:val="none"/>
              </w:rPr>
            </w:r>
          </w:p>
        </w:tc>
        <w:tc>
          <w:tcPr>
            <w:tcW w:w="696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2030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40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Привлеченные средства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75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431" w:type="dxa"/>
            <w:vMerge w:val="restart"/>
            <w:textDirection w:val="lrTb"/>
            <w:noWrap w:val="false"/>
          </w:tcPr>
          <w:p>
            <w:pP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</w:tr>
    </w:tbl>
    <w:p>
      <w:pPr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  <w:t xml:space="preserve">                                                                                                        Приложение 5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к решению городской Думы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города Нижнего Новгорода</w:t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highlight w:val="none"/>
        </w:rPr>
        <w:t xml:space="preserve">                                                                                                        от            № </w:t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p>
      <w:pPr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tbl>
      <w:tblPr>
        <w:tblStyle w:val="754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983"/>
        <w:gridCol w:w="850"/>
        <w:gridCol w:w="992"/>
        <w:gridCol w:w="1843"/>
        <w:gridCol w:w="363"/>
        <w:gridCol w:w="357"/>
        <w:gridCol w:w="357"/>
        <w:gridCol w:w="357"/>
        <w:gridCol w:w="357"/>
        <w:gridCol w:w="2144"/>
      </w:tblGrid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Строительство и модернизация 8 спортивных площадок в районах города Нижнего Новгорода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48 363,01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48 363,01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Строительство лыжероллерной трассы на Анкудиновском шоссе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30 000,00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30 000,00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МБУ «КСШОР №1», ул.Лоскутова, 11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620 000,00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620 000,00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4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МБОУ ДО СШОР №7 по баскетболу, ул. Трамвайная, 81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5 500 000,00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5 500 000,00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МБОУ ДО СШОР №13 по настольному теннису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34 786 620,00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34 786 620,00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МБОУ ДО СШ ДС «Северная звезда», МБОУ ДО КСШ №1, МБОУ ДО СШ «Олимп»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2028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24 840 000,00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24 840 000,00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Итого строительство: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Всего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65 824 983,01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65 824 983,01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65 824 983,01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65 824 983,01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МБУ СШ «Водник», ул. Алексеевская, 30А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902 490,00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902 490,00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Стадион «Старт», ул. Бийская, 15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1 000 000,00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1 000 000,00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198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Стадион «Труд» МБУ СШ «Сормово», бульвар Юбилейный, 30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600 000,00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19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83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 реконструкция: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Всего: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2 502 490,00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2 502 490,00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W w:w="28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2 502 490,00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2 502 490,00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W w:w="28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83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 по разделу «Развитие физической культуры и спорта»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Всего: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68 327 473,01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68 327 473,01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W w:w="28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ОБ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68 327 473,01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68 327 473,01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W w:w="283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МБ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6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  <w:t xml:space="preserve">0,00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rPr>
          <w:rFonts w:hint="default"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  <w:r>
        <w:rPr>
          <w:rFonts w:hint="default" w:ascii="Times New Roman" w:hAnsi="Times New Roman" w:eastAsia="Times New Roman" w:cs="Times New Roman"/>
          <w:sz w:val="24"/>
          <w:szCs w:val="24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p>
      <w:pPr>
        <w:rPr>
          <w:rFonts w:hint="default" w:ascii="Times New Roman" w:hAnsi="Times New Roman" w:eastAsia="Times New Roman" w:cs="Times New Roman"/>
          <w:sz w:val="20"/>
          <w:szCs w:val="20"/>
        </w:rPr>
      </w:pP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  <w:r>
        <w:rPr>
          <w:rFonts w:hint="default" w:ascii="Times New Roman" w:hAnsi="Times New Roman" w:eastAsia="Times New Roman" w:cs="Times New Roman"/>
          <w:sz w:val="20"/>
          <w:szCs w:val="20"/>
        </w:rPr>
      </w:r>
    </w:p>
    <w:sectPr>
      <w:headerReference w:type="default" r:id="rId9"/>
      <w:footnotePr/>
      <w:endnotePr/>
      <w:type w:val="nextPage"/>
      <w:pgSz w:w="11907" w:h="16834" w:orient="portrait"/>
      <w:pgMar w:top="1134" w:right="851" w:bottom="709" w:left="1134" w:header="289" w:footer="289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ZapfDingbatsITC">
    <w:panose1 w:val="02000603000000000000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6"/>
      <w:jc w:val="center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/>
        <w:sz w:val="2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10" w:hanging="510"/>
        <w:tabs>
          <w:tab w:val="num" w:pos="51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45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3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  <w:color w:val="auto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49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num w:numId="1">
    <w:abstractNumId w:val="24"/>
  </w:num>
  <w:num w:numId="2">
    <w:abstractNumId w:val="16"/>
  </w:num>
  <w:num w:numId="3">
    <w:abstractNumId w:val="4"/>
  </w:num>
  <w:num w:numId="4">
    <w:abstractNumId w:val="0"/>
  </w:num>
  <w:num w:numId="5">
    <w:abstractNumId w:val="14"/>
  </w:num>
  <w:num w:numId="6">
    <w:abstractNumId w:val="5"/>
  </w:num>
  <w:num w:numId="7">
    <w:abstractNumId w:val="17"/>
  </w:num>
  <w:num w:numId="8">
    <w:abstractNumId w:val="10"/>
  </w:num>
  <w:num w:numId="9">
    <w:abstractNumId w:val="15"/>
  </w:num>
  <w:num w:numId="10">
    <w:abstractNumId w:val="23"/>
  </w:num>
  <w:num w:numId="11">
    <w:abstractNumId w:val="6"/>
  </w:num>
  <w:num w:numId="12">
    <w:abstractNumId w:val="25"/>
  </w:num>
  <w:num w:numId="13">
    <w:abstractNumId w:val="19"/>
  </w:num>
  <w:num w:numId="14">
    <w:abstractNumId w:val="13"/>
  </w:num>
  <w:num w:numId="15">
    <w:abstractNumId w:val="20"/>
  </w:num>
  <w:num w:numId="16">
    <w:abstractNumId w:val="9"/>
  </w:num>
  <w:num w:numId="17">
    <w:abstractNumId w:val="21"/>
  </w:num>
  <w:num w:numId="18">
    <w:abstractNumId w:val="22"/>
  </w:num>
  <w:num w:numId="19">
    <w:abstractNumId w:val="18"/>
  </w:num>
  <w:num w:numId="20">
    <w:abstractNumId w:val="26"/>
  </w:num>
  <w:num w:numId="21">
    <w:abstractNumId w:val="2"/>
  </w:num>
  <w:num w:numId="22">
    <w:abstractNumId w:val="12"/>
  </w:num>
  <w:num w:numId="23">
    <w:abstractNumId w:val="1"/>
  </w:num>
  <w:num w:numId="24">
    <w:abstractNumId w:val="3"/>
  </w:num>
  <w:num w:numId="25">
    <w:abstractNumId w:val="7"/>
  </w:num>
  <w:num w:numId="26">
    <w:abstractNumId w:val="11"/>
  </w:num>
  <w:num w:numId="27">
    <w:abstractNumId w:val="8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20">
    <w:name w:val="Heading 1"/>
    <w:basedOn w:val="898"/>
    <w:next w:val="898"/>
    <w:link w:val="72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21">
    <w:name w:val="Heading 1 Char"/>
    <w:link w:val="720"/>
    <w:uiPriority w:val="9"/>
    <w:rPr>
      <w:rFonts w:ascii="Arial" w:hAnsi="Arial" w:eastAsia="Arial" w:cs="Arial"/>
      <w:sz w:val="40"/>
      <w:szCs w:val="40"/>
    </w:rPr>
  </w:style>
  <w:style w:type="paragraph" w:styleId="722">
    <w:name w:val="Heading 2"/>
    <w:basedOn w:val="898"/>
    <w:next w:val="898"/>
    <w:link w:val="72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23">
    <w:name w:val="Heading 2 Char"/>
    <w:link w:val="722"/>
    <w:uiPriority w:val="9"/>
    <w:rPr>
      <w:rFonts w:ascii="Arial" w:hAnsi="Arial" w:eastAsia="Arial" w:cs="Arial"/>
      <w:sz w:val="34"/>
    </w:rPr>
  </w:style>
  <w:style w:type="paragraph" w:styleId="724">
    <w:name w:val="Heading 3"/>
    <w:basedOn w:val="898"/>
    <w:next w:val="898"/>
    <w:link w:val="72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25">
    <w:name w:val="Heading 3 Char"/>
    <w:link w:val="724"/>
    <w:uiPriority w:val="9"/>
    <w:rPr>
      <w:rFonts w:ascii="Arial" w:hAnsi="Arial" w:eastAsia="Arial" w:cs="Arial"/>
      <w:sz w:val="30"/>
      <w:szCs w:val="30"/>
    </w:rPr>
  </w:style>
  <w:style w:type="paragraph" w:styleId="726">
    <w:name w:val="Heading 4"/>
    <w:basedOn w:val="898"/>
    <w:next w:val="898"/>
    <w:link w:val="72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7">
    <w:name w:val="Heading 4 Char"/>
    <w:link w:val="726"/>
    <w:uiPriority w:val="9"/>
    <w:rPr>
      <w:rFonts w:ascii="Arial" w:hAnsi="Arial" w:eastAsia="Arial" w:cs="Arial"/>
      <w:b/>
      <w:bCs/>
      <w:sz w:val="26"/>
      <w:szCs w:val="26"/>
    </w:rPr>
  </w:style>
  <w:style w:type="paragraph" w:styleId="728">
    <w:name w:val="Heading 5"/>
    <w:basedOn w:val="898"/>
    <w:next w:val="898"/>
    <w:link w:val="72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9">
    <w:name w:val="Heading 5 Char"/>
    <w:link w:val="728"/>
    <w:uiPriority w:val="9"/>
    <w:rPr>
      <w:rFonts w:ascii="Arial" w:hAnsi="Arial" w:eastAsia="Arial" w:cs="Arial"/>
      <w:b/>
      <w:bCs/>
      <w:sz w:val="24"/>
      <w:szCs w:val="24"/>
    </w:rPr>
  </w:style>
  <w:style w:type="paragraph" w:styleId="730">
    <w:name w:val="Heading 6"/>
    <w:basedOn w:val="898"/>
    <w:next w:val="898"/>
    <w:link w:val="73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31">
    <w:name w:val="Heading 6 Char"/>
    <w:link w:val="730"/>
    <w:uiPriority w:val="9"/>
    <w:rPr>
      <w:rFonts w:ascii="Arial" w:hAnsi="Arial" w:eastAsia="Arial" w:cs="Arial"/>
      <w:b/>
      <w:bCs/>
      <w:sz w:val="22"/>
      <w:szCs w:val="22"/>
    </w:rPr>
  </w:style>
  <w:style w:type="paragraph" w:styleId="732">
    <w:name w:val="Heading 7"/>
    <w:basedOn w:val="898"/>
    <w:next w:val="898"/>
    <w:link w:val="73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33">
    <w:name w:val="Heading 7 Char"/>
    <w:link w:val="73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4">
    <w:name w:val="Heading 8"/>
    <w:basedOn w:val="898"/>
    <w:next w:val="898"/>
    <w:link w:val="73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35">
    <w:name w:val="Heading 8 Char"/>
    <w:link w:val="734"/>
    <w:uiPriority w:val="9"/>
    <w:rPr>
      <w:rFonts w:ascii="Arial" w:hAnsi="Arial" w:eastAsia="Arial" w:cs="Arial"/>
      <w:i/>
      <w:iCs/>
      <w:sz w:val="22"/>
      <w:szCs w:val="22"/>
    </w:rPr>
  </w:style>
  <w:style w:type="paragraph" w:styleId="736">
    <w:name w:val="Heading 9"/>
    <w:basedOn w:val="898"/>
    <w:next w:val="898"/>
    <w:link w:val="73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7">
    <w:name w:val="Heading 9 Char"/>
    <w:link w:val="736"/>
    <w:uiPriority w:val="9"/>
    <w:rPr>
      <w:rFonts w:ascii="Arial" w:hAnsi="Arial" w:eastAsia="Arial" w:cs="Arial"/>
      <w:i/>
      <w:iCs/>
      <w:sz w:val="21"/>
      <w:szCs w:val="21"/>
    </w:rPr>
  </w:style>
  <w:style w:type="paragraph" w:styleId="738">
    <w:name w:val="List Paragraph"/>
    <w:basedOn w:val="898"/>
    <w:uiPriority w:val="34"/>
    <w:qFormat/>
    <w:pPr>
      <w:contextualSpacing/>
      <w:ind w:left="720"/>
    </w:pPr>
  </w:style>
  <w:style w:type="paragraph" w:styleId="739">
    <w:name w:val="No Spacing"/>
    <w:uiPriority w:val="1"/>
    <w:qFormat/>
    <w:pPr>
      <w:spacing w:before="0" w:after="0" w:line="240" w:lineRule="auto"/>
    </w:pPr>
  </w:style>
  <w:style w:type="paragraph" w:styleId="740">
    <w:name w:val="Title"/>
    <w:basedOn w:val="898"/>
    <w:next w:val="898"/>
    <w:link w:val="74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41">
    <w:name w:val="Title Char"/>
    <w:link w:val="740"/>
    <w:uiPriority w:val="10"/>
    <w:rPr>
      <w:sz w:val="48"/>
      <w:szCs w:val="48"/>
    </w:rPr>
  </w:style>
  <w:style w:type="paragraph" w:styleId="742">
    <w:name w:val="Subtitle"/>
    <w:basedOn w:val="898"/>
    <w:next w:val="898"/>
    <w:link w:val="743"/>
    <w:uiPriority w:val="11"/>
    <w:qFormat/>
    <w:pPr>
      <w:spacing w:before="200" w:after="200"/>
    </w:pPr>
    <w:rPr>
      <w:sz w:val="24"/>
      <w:szCs w:val="24"/>
    </w:rPr>
  </w:style>
  <w:style w:type="character" w:styleId="743">
    <w:name w:val="Subtitle Char"/>
    <w:link w:val="742"/>
    <w:uiPriority w:val="11"/>
    <w:rPr>
      <w:sz w:val="24"/>
      <w:szCs w:val="24"/>
    </w:rPr>
  </w:style>
  <w:style w:type="paragraph" w:styleId="744">
    <w:name w:val="Quote"/>
    <w:basedOn w:val="898"/>
    <w:next w:val="898"/>
    <w:link w:val="745"/>
    <w:uiPriority w:val="29"/>
    <w:qFormat/>
    <w:pPr>
      <w:ind w:left="720" w:right="720"/>
    </w:pPr>
    <w:rPr>
      <w:i/>
    </w:rPr>
  </w:style>
  <w:style w:type="character" w:styleId="745">
    <w:name w:val="Quote Char"/>
    <w:link w:val="744"/>
    <w:uiPriority w:val="29"/>
    <w:rPr>
      <w:i/>
    </w:rPr>
  </w:style>
  <w:style w:type="paragraph" w:styleId="746">
    <w:name w:val="Intense Quote"/>
    <w:basedOn w:val="898"/>
    <w:next w:val="898"/>
    <w:link w:val="74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7">
    <w:name w:val="Intense Quote Char"/>
    <w:link w:val="746"/>
    <w:uiPriority w:val="30"/>
    <w:rPr>
      <w:i/>
    </w:rPr>
  </w:style>
  <w:style w:type="paragraph" w:styleId="748">
    <w:name w:val="Header"/>
    <w:basedOn w:val="898"/>
    <w:link w:val="74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9">
    <w:name w:val="Header Char"/>
    <w:link w:val="748"/>
    <w:uiPriority w:val="99"/>
  </w:style>
  <w:style w:type="paragraph" w:styleId="750">
    <w:name w:val="Footer"/>
    <w:basedOn w:val="898"/>
    <w:link w:val="75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51">
    <w:name w:val="Footer Char"/>
    <w:link w:val="750"/>
    <w:uiPriority w:val="99"/>
  </w:style>
  <w:style w:type="paragraph" w:styleId="752">
    <w:name w:val="Caption"/>
    <w:basedOn w:val="898"/>
    <w:next w:val="898"/>
    <w:link w:val="75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3">
    <w:name w:val="Caption Char"/>
    <w:basedOn w:val="752"/>
    <w:link w:val="750"/>
    <w:uiPriority w:val="99"/>
  </w:style>
  <w:style w:type="table" w:styleId="75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9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9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9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9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9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9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9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0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0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2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2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2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2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2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5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5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5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5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5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5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7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7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7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7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7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7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80">
    <w:name w:val="Hyperlink"/>
    <w:uiPriority w:val="99"/>
    <w:unhideWhenUsed/>
    <w:rPr>
      <w:color w:val="0000ff" w:themeColor="hyperlink"/>
      <w:u w:val="single"/>
    </w:rPr>
  </w:style>
  <w:style w:type="paragraph" w:styleId="881">
    <w:name w:val="footnote text"/>
    <w:basedOn w:val="898"/>
    <w:link w:val="882"/>
    <w:uiPriority w:val="99"/>
    <w:semiHidden/>
    <w:unhideWhenUsed/>
    <w:pPr>
      <w:spacing w:after="40" w:line="240" w:lineRule="auto"/>
    </w:pPr>
    <w:rPr>
      <w:sz w:val="18"/>
    </w:rPr>
  </w:style>
  <w:style w:type="character" w:styleId="882">
    <w:name w:val="Footnote Text Char"/>
    <w:link w:val="881"/>
    <w:uiPriority w:val="99"/>
    <w:rPr>
      <w:sz w:val="18"/>
    </w:rPr>
  </w:style>
  <w:style w:type="character" w:styleId="883">
    <w:name w:val="footnote reference"/>
    <w:uiPriority w:val="99"/>
    <w:unhideWhenUsed/>
    <w:rPr>
      <w:vertAlign w:val="superscript"/>
    </w:rPr>
  </w:style>
  <w:style w:type="paragraph" w:styleId="884">
    <w:name w:val="endnote text"/>
    <w:basedOn w:val="898"/>
    <w:link w:val="885"/>
    <w:uiPriority w:val="99"/>
    <w:semiHidden/>
    <w:unhideWhenUsed/>
    <w:pPr>
      <w:spacing w:after="0" w:line="240" w:lineRule="auto"/>
    </w:pPr>
    <w:rPr>
      <w:sz w:val="20"/>
    </w:rPr>
  </w:style>
  <w:style w:type="character" w:styleId="885">
    <w:name w:val="Endnote Text Char"/>
    <w:link w:val="884"/>
    <w:uiPriority w:val="99"/>
    <w:rPr>
      <w:sz w:val="20"/>
    </w:rPr>
  </w:style>
  <w:style w:type="character" w:styleId="886">
    <w:name w:val="endnote reference"/>
    <w:uiPriority w:val="99"/>
    <w:semiHidden/>
    <w:unhideWhenUsed/>
    <w:rPr>
      <w:vertAlign w:val="superscript"/>
    </w:rPr>
  </w:style>
  <w:style w:type="paragraph" w:styleId="887">
    <w:name w:val="toc 1"/>
    <w:basedOn w:val="898"/>
    <w:next w:val="898"/>
    <w:uiPriority w:val="39"/>
    <w:unhideWhenUsed/>
    <w:pPr>
      <w:ind w:left="0" w:right="0" w:firstLine="0"/>
      <w:spacing w:after="57"/>
    </w:pPr>
  </w:style>
  <w:style w:type="paragraph" w:styleId="888">
    <w:name w:val="toc 2"/>
    <w:basedOn w:val="898"/>
    <w:next w:val="898"/>
    <w:uiPriority w:val="39"/>
    <w:unhideWhenUsed/>
    <w:pPr>
      <w:ind w:left="283" w:right="0" w:firstLine="0"/>
      <w:spacing w:after="57"/>
    </w:pPr>
  </w:style>
  <w:style w:type="paragraph" w:styleId="889">
    <w:name w:val="toc 3"/>
    <w:basedOn w:val="898"/>
    <w:next w:val="898"/>
    <w:uiPriority w:val="39"/>
    <w:unhideWhenUsed/>
    <w:pPr>
      <w:ind w:left="567" w:right="0" w:firstLine="0"/>
      <w:spacing w:after="57"/>
    </w:pPr>
  </w:style>
  <w:style w:type="paragraph" w:styleId="890">
    <w:name w:val="toc 4"/>
    <w:basedOn w:val="898"/>
    <w:next w:val="898"/>
    <w:uiPriority w:val="39"/>
    <w:unhideWhenUsed/>
    <w:pPr>
      <w:ind w:left="850" w:right="0" w:firstLine="0"/>
      <w:spacing w:after="57"/>
    </w:pPr>
  </w:style>
  <w:style w:type="paragraph" w:styleId="891">
    <w:name w:val="toc 5"/>
    <w:basedOn w:val="898"/>
    <w:next w:val="898"/>
    <w:uiPriority w:val="39"/>
    <w:unhideWhenUsed/>
    <w:pPr>
      <w:ind w:left="1134" w:right="0" w:firstLine="0"/>
      <w:spacing w:after="57"/>
    </w:pPr>
  </w:style>
  <w:style w:type="paragraph" w:styleId="892">
    <w:name w:val="toc 6"/>
    <w:basedOn w:val="898"/>
    <w:next w:val="898"/>
    <w:uiPriority w:val="39"/>
    <w:unhideWhenUsed/>
    <w:pPr>
      <w:ind w:left="1417" w:right="0" w:firstLine="0"/>
      <w:spacing w:after="57"/>
    </w:pPr>
  </w:style>
  <w:style w:type="paragraph" w:styleId="893">
    <w:name w:val="toc 7"/>
    <w:basedOn w:val="898"/>
    <w:next w:val="898"/>
    <w:uiPriority w:val="39"/>
    <w:unhideWhenUsed/>
    <w:pPr>
      <w:ind w:left="1701" w:right="0" w:firstLine="0"/>
      <w:spacing w:after="57"/>
    </w:pPr>
  </w:style>
  <w:style w:type="paragraph" w:styleId="894">
    <w:name w:val="toc 8"/>
    <w:basedOn w:val="898"/>
    <w:next w:val="898"/>
    <w:uiPriority w:val="39"/>
    <w:unhideWhenUsed/>
    <w:pPr>
      <w:ind w:left="1984" w:right="0" w:firstLine="0"/>
      <w:spacing w:after="57"/>
    </w:pPr>
  </w:style>
  <w:style w:type="paragraph" w:styleId="895">
    <w:name w:val="toc 9"/>
    <w:basedOn w:val="898"/>
    <w:next w:val="898"/>
    <w:uiPriority w:val="39"/>
    <w:unhideWhenUsed/>
    <w:pPr>
      <w:ind w:left="2268" w:right="0" w:firstLine="0"/>
      <w:spacing w:after="57"/>
    </w:pPr>
  </w:style>
  <w:style w:type="paragraph" w:styleId="896">
    <w:name w:val="TOC Heading"/>
    <w:uiPriority w:val="39"/>
    <w:unhideWhenUsed/>
  </w:style>
  <w:style w:type="paragraph" w:styleId="897">
    <w:name w:val="table of figures"/>
    <w:basedOn w:val="898"/>
    <w:next w:val="898"/>
    <w:uiPriority w:val="99"/>
    <w:unhideWhenUsed/>
    <w:pPr>
      <w:spacing w:after="0" w:afterAutospacing="0"/>
    </w:pPr>
  </w:style>
  <w:style w:type="paragraph" w:styleId="898" w:default="1">
    <w:name w:val="Normal"/>
    <w:next w:val="898"/>
    <w:link w:val="898"/>
    <w:qFormat/>
    <w:rPr>
      <w:lang w:val="ru-RU" w:eastAsia="ru-RU" w:bidi="ar-SA"/>
    </w:rPr>
  </w:style>
  <w:style w:type="paragraph" w:styleId="899">
    <w:name w:val="Заголовок 1"/>
    <w:basedOn w:val="898"/>
    <w:next w:val="898"/>
    <w:link w:val="898"/>
    <w:qFormat/>
    <w:pPr>
      <w:ind w:firstLine="426"/>
      <w:jc w:val="both"/>
      <w:keepNext/>
      <w:outlineLvl w:val="0"/>
    </w:pPr>
    <w:rPr>
      <w:sz w:val="28"/>
    </w:rPr>
  </w:style>
  <w:style w:type="paragraph" w:styleId="900">
    <w:name w:val="Заголовок 2"/>
    <w:basedOn w:val="898"/>
    <w:next w:val="898"/>
    <w:link w:val="898"/>
    <w:qFormat/>
    <w:pPr>
      <w:keepNext/>
      <w:outlineLvl w:val="1"/>
    </w:pPr>
    <w:rPr>
      <w:sz w:val="28"/>
    </w:rPr>
  </w:style>
  <w:style w:type="paragraph" w:styleId="901">
    <w:name w:val="Заголовок 3"/>
    <w:basedOn w:val="898"/>
    <w:next w:val="898"/>
    <w:link w:val="898"/>
    <w:qFormat/>
    <w:pPr>
      <w:jc w:val="both"/>
      <w:keepNext/>
      <w:outlineLvl w:val="2"/>
    </w:pPr>
    <w:rPr>
      <w:sz w:val="28"/>
    </w:rPr>
  </w:style>
  <w:style w:type="paragraph" w:styleId="902">
    <w:name w:val="Заголовок 4"/>
    <w:basedOn w:val="898"/>
    <w:next w:val="898"/>
    <w:link w:val="898"/>
    <w:qFormat/>
    <w:pPr>
      <w:ind w:firstLine="851"/>
      <w:keepNext/>
      <w:outlineLvl w:val="3"/>
    </w:pPr>
    <w:rPr>
      <w:sz w:val="28"/>
    </w:rPr>
  </w:style>
  <w:style w:type="paragraph" w:styleId="903">
    <w:name w:val="Заголовок 5"/>
    <w:basedOn w:val="898"/>
    <w:next w:val="898"/>
    <w:link w:val="898"/>
    <w:qFormat/>
    <w:pPr>
      <w:keepNext/>
      <w:outlineLvl w:val="4"/>
    </w:pPr>
    <w:rPr>
      <w:sz w:val="24"/>
    </w:rPr>
  </w:style>
  <w:style w:type="paragraph" w:styleId="904">
    <w:name w:val="Заголовок 6"/>
    <w:basedOn w:val="898"/>
    <w:next w:val="898"/>
    <w:link w:val="898"/>
    <w:qFormat/>
    <w:pPr>
      <w:ind w:left="284"/>
      <w:jc w:val="center"/>
      <w:keepNext/>
      <w:outlineLvl w:val="5"/>
    </w:pPr>
    <w:rPr>
      <w:b/>
      <w:sz w:val="30"/>
    </w:rPr>
  </w:style>
  <w:style w:type="character" w:styleId="905">
    <w:name w:val="Основной шрифт абзаца"/>
    <w:next w:val="905"/>
    <w:link w:val="898"/>
    <w:semiHidden/>
  </w:style>
  <w:style w:type="table" w:styleId="906">
    <w:name w:val="Обычная таблица"/>
    <w:next w:val="906"/>
    <w:link w:val="898"/>
    <w:semiHidden/>
    <w:tblPr/>
  </w:style>
  <w:style w:type="numbering" w:styleId="907">
    <w:name w:val="Нет списка"/>
    <w:next w:val="907"/>
    <w:link w:val="898"/>
    <w:semiHidden/>
  </w:style>
  <w:style w:type="paragraph" w:styleId="908">
    <w:name w:val="Основной текст"/>
    <w:basedOn w:val="898"/>
    <w:next w:val="908"/>
    <w:link w:val="898"/>
    <w:pPr>
      <w:jc w:val="both"/>
    </w:pPr>
    <w:rPr>
      <w:sz w:val="28"/>
    </w:rPr>
  </w:style>
  <w:style w:type="paragraph" w:styleId="909">
    <w:name w:val="Основной текст с отступом"/>
    <w:basedOn w:val="898"/>
    <w:next w:val="909"/>
    <w:link w:val="898"/>
    <w:pPr>
      <w:ind w:firstLine="567"/>
    </w:pPr>
    <w:rPr>
      <w:sz w:val="28"/>
    </w:rPr>
  </w:style>
  <w:style w:type="paragraph" w:styleId="910">
    <w:name w:val="Основной текст с отступом 2"/>
    <w:basedOn w:val="898"/>
    <w:next w:val="910"/>
    <w:link w:val="898"/>
    <w:pPr>
      <w:ind w:firstLine="851"/>
      <w:jc w:val="both"/>
    </w:pPr>
    <w:rPr>
      <w:sz w:val="28"/>
    </w:rPr>
  </w:style>
  <w:style w:type="paragraph" w:styleId="911">
    <w:name w:val="Основной текст с отступом 3"/>
    <w:basedOn w:val="898"/>
    <w:next w:val="911"/>
    <w:link w:val="898"/>
    <w:pPr>
      <w:ind w:firstLine="851"/>
    </w:pPr>
    <w:rPr>
      <w:sz w:val="28"/>
      <w:lang w:val="en-US"/>
    </w:rPr>
  </w:style>
  <w:style w:type="paragraph" w:styleId="912">
    <w:name w:val="Название объекта"/>
    <w:basedOn w:val="898"/>
    <w:next w:val="898"/>
    <w:link w:val="898"/>
    <w:qFormat/>
    <w:pPr>
      <w:jc w:val="center"/>
    </w:pPr>
    <w:rPr>
      <w:b/>
      <w:sz w:val="32"/>
    </w:rPr>
  </w:style>
  <w:style w:type="paragraph" w:styleId="913">
    <w:name w:val="Цитата"/>
    <w:basedOn w:val="898"/>
    <w:next w:val="913"/>
    <w:link w:val="898"/>
    <w:pPr>
      <w:ind w:left="142" w:right="3967"/>
      <w:jc w:val="both"/>
      <w:tabs>
        <w:tab w:val="left" w:pos="0" w:leader="none"/>
        <w:tab w:val="left" w:pos="5245" w:leader="none"/>
      </w:tabs>
    </w:pPr>
    <w:rPr>
      <w:sz w:val="28"/>
    </w:rPr>
  </w:style>
  <w:style w:type="character" w:styleId="914">
    <w:name w:val="Гиперссылка"/>
    <w:next w:val="914"/>
    <w:link w:val="898"/>
    <w:rPr>
      <w:color w:val="0000ff"/>
      <w:u w:val="single"/>
    </w:rPr>
  </w:style>
  <w:style w:type="character" w:styleId="915">
    <w:name w:val="fontstyle01"/>
    <w:next w:val="915"/>
    <w:link w:val="898"/>
    <w:rPr>
      <w:rFonts w:ascii="ZapfDingbatsITC" w:hAnsi="ZapfDingbatsITC"/>
      <w:color w:val="231f20"/>
      <w:sz w:val="16"/>
      <w:szCs w:val="16"/>
    </w:rPr>
  </w:style>
  <w:style w:type="paragraph" w:styleId="916">
    <w:name w:val="Верхний колонтитул"/>
    <w:basedOn w:val="898"/>
    <w:next w:val="916"/>
    <w:link w:val="917"/>
    <w:pPr>
      <w:tabs>
        <w:tab w:val="center" w:pos="4677" w:leader="none"/>
        <w:tab w:val="right" w:pos="9355" w:leader="none"/>
      </w:tabs>
    </w:pPr>
  </w:style>
  <w:style w:type="character" w:styleId="917">
    <w:name w:val="Верхний колонтитул Знак"/>
    <w:basedOn w:val="905"/>
    <w:next w:val="917"/>
    <w:link w:val="916"/>
  </w:style>
  <w:style w:type="paragraph" w:styleId="918">
    <w:name w:val="Нижний колонтитул"/>
    <w:basedOn w:val="898"/>
    <w:next w:val="918"/>
    <w:link w:val="919"/>
    <w:pPr>
      <w:tabs>
        <w:tab w:val="center" w:pos="4677" w:leader="none"/>
        <w:tab w:val="right" w:pos="9355" w:leader="none"/>
      </w:tabs>
    </w:pPr>
  </w:style>
  <w:style w:type="character" w:styleId="919">
    <w:name w:val="Нижний колонтитул Знак"/>
    <w:basedOn w:val="905"/>
    <w:next w:val="919"/>
    <w:link w:val="918"/>
  </w:style>
  <w:style w:type="character" w:styleId="920">
    <w:name w:val="Неразрешенное упоминание"/>
    <w:next w:val="920"/>
    <w:link w:val="898"/>
    <w:uiPriority w:val="99"/>
    <w:semiHidden/>
    <w:unhideWhenUsed/>
    <w:rPr>
      <w:color w:val="605e5c"/>
      <w:shd w:val="clear" w:color="auto" w:fill="e1dfdd"/>
    </w:rPr>
  </w:style>
  <w:style w:type="paragraph" w:styleId="921">
    <w:name w:val="Обычный (веб)"/>
    <w:basedOn w:val="898"/>
    <w:next w:val="921"/>
    <w:link w:val="898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922">
    <w:name w:val="desc"/>
    <w:basedOn w:val="898"/>
    <w:next w:val="922"/>
    <w:link w:val="898"/>
    <w:pPr>
      <w:spacing w:before="100" w:beforeAutospacing="1" w:after="100" w:afterAutospacing="1"/>
    </w:pPr>
    <w:rPr>
      <w:sz w:val="24"/>
      <w:szCs w:val="24"/>
    </w:rPr>
  </w:style>
  <w:style w:type="paragraph" w:styleId="923">
    <w:name w:val="Текст выноски"/>
    <w:basedOn w:val="898"/>
    <w:next w:val="923"/>
    <w:link w:val="924"/>
    <w:rPr>
      <w:rFonts w:ascii="Tahoma" w:hAnsi="Tahoma" w:cs="Tahoma"/>
      <w:sz w:val="16"/>
      <w:szCs w:val="16"/>
    </w:rPr>
  </w:style>
  <w:style w:type="character" w:styleId="924">
    <w:name w:val="Текст выноски Знак"/>
    <w:next w:val="924"/>
    <w:link w:val="923"/>
    <w:rPr>
      <w:rFonts w:ascii="Tahoma" w:hAnsi="Tahoma" w:cs="Tahoma"/>
      <w:sz w:val="16"/>
      <w:szCs w:val="16"/>
    </w:rPr>
  </w:style>
  <w:style w:type="character" w:styleId="925">
    <w:name w:val="Строгий"/>
    <w:next w:val="925"/>
    <w:link w:val="898"/>
    <w:uiPriority w:val="22"/>
    <w:qFormat/>
    <w:rPr>
      <w:b/>
      <w:bCs/>
    </w:rPr>
  </w:style>
  <w:style w:type="character" w:styleId="926">
    <w:name w:val="title-sub"/>
    <w:basedOn w:val="905"/>
    <w:next w:val="926"/>
    <w:link w:val="898"/>
  </w:style>
  <w:style w:type="paragraph" w:styleId="927">
    <w:name w:val="Абзац списка"/>
    <w:basedOn w:val="898"/>
    <w:next w:val="927"/>
    <w:link w:val="898"/>
    <w:uiPriority w:val="34"/>
    <w:qFormat/>
    <w:pPr>
      <w:contextualSpacing/>
      <w:ind w:left="720"/>
      <w:spacing w:after="160" w:line="259" w:lineRule="auto"/>
    </w:pPr>
    <w:rPr>
      <w:rFonts w:ascii="Calibri" w:hAnsi="Calibri" w:eastAsia="Calibri"/>
      <w:sz w:val="22"/>
      <w:szCs w:val="22"/>
      <w:lang w:eastAsia="en-US"/>
    </w:rPr>
  </w:style>
  <w:style w:type="character" w:styleId="928" w:default="1">
    <w:name w:val="Default Paragraph Font"/>
    <w:uiPriority w:val="1"/>
    <w:semiHidden/>
    <w:unhideWhenUsed/>
  </w:style>
  <w:style w:type="numbering" w:styleId="929" w:default="1">
    <w:name w:val="No List"/>
    <w:uiPriority w:val="99"/>
    <w:semiHidden/>
    <w:unhideWhenUsed/>
  </w:style>
  <w:style w:type="table" w:styleId="930" w:default="1">
    <w:name w:val="Normal Table"/>
    <w:uiPriority w:val="99"/>
    <w:semiHidden/>
    <w:unhideWhenUsed/>
    <w:tblPr/>
  </w:style>
  <w:style w:type="character" w:styleId="931" w:customStyle="1">
    <w:name w:val="Date_num"/>
    <w:rPr>
      <w:rFonts w:cs="Times New Roman"/>
    </w:rPr>
  </w:style>
  <w:style w:type="paragraph" w:styleId="932" w:customStyle="1">
    <w:name w:val="HeadDoc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320" w:lineRule="exact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3" w:customStyle="1">
    <w:name w:val="Обычный2"/>
    <w:pPr>
      <w:contextualSpacing w:val="0"/>
      <w:ind w:left="0" w:right="0" w:firstLine="567"/>
      <w:jc w:val="both"/>
      <w:keepLines/>
      <w:keepNext w:val="0"/>
      <w:pageBreakBefore w:val="0"/>
      <w:spacing w:before="0" w:beforeAutospacing="0" w:after="0" w:afterAutospacing="0" w:line="320" w:lineRule="exact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4" w:customStyle="1">
    <w:name w:val="Body Text"/>
    <w:uiPriority w:val="99"/>
    <w:pPr>
      <w:contextualSpacing w:val="0"/>
      <w:ind w:left="0" w:right="0" w:firstLine="709"/>
      <w:jc w:val="both"/>
      <w:keepLines w:val="0"/>
      <w:keepNext w:val="0"/>
      <w:pageBreakBefore w:val="0"/>
      <w:spacing w:before="0" w:beforeAutospacing="0" w:after="120" w:afterAutospacing="0" w:line="320" w:lineRule="exact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5" w:customStyle="1">
    <w:name w:val="Текст (лев. подпись)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320" w:lineRule="exact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6" w:customStyle="1">
    <w:name w:val="Текст (прав. подпись)"/>
    <w:pPr>
      <w:contextualSpacing w:val="0"/>
      <w:ind w:left="0" w:right="0" w:firstLine="0"/>
      <w:jc w:val="right"/>
      <w:keepLines w:val="0"/>
      <w:keepNext w:val="0"/>
      <w:pageBreakBefore w:val="0"/>
      <w:spacing w:before="0" w:beforeAutospacing="0" w:after="0" w:afterAutospacing="0" w:line="320" w:lineRule="exact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7" w:customStyle="1">
    <w:name w:val="s_1"/>
    <w:basedOn w:val="749"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png"/><Relationship Id="rId11" Type="http://schemas.openxmlformats.org/officeDocument/2006/relationships/hyperlink" Target="https://xn--80aah6bno.xn--b1acdfjbh2acclca1a.xn--p1ai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Р7-Офис/2025.2.1.801</Application>
  <Company>Administration N. Novgorod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Chel</dc:creator>
  <cp:lastModifiedBy>e.kabanova</cp:lastModifiedBy>
  <cp:revision>84</cp:revision>
  <dcterms:created xsi:type="dcterms:W3CDTF">2022-09-05T13:53:00Z</dcterms:created>
  <dcterms:modified xsi:type="dcterms:W3CDTF">2025-05-15T10:34:12Z</dcterms:modified>
  <cp:version>1048576</cp:version>
</cp:coreProperties>
</file>